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Progetto di costituzione di </w:t>
      </w:r>
      <w:r>
        <w:rPr>
          <w:b/>
          <w:bCs/>
        </w:rPr>
        <w:t xml:space="preserve">un </w:t>
      </w:r>
      <w:r>
        <w:rPr>
          <w:b/>
          <w:bCs/>
        </w:rPr>
        <w:t xml:space="preserve">Centro Studi su cambiamenti climatici e gestione ambientale </w:t>
      </w:r>
    </w:p>
    <w:p>
      <w:pPr>
        <w:pStyle w:val="Normal"/>
        <w:rPr/>
      </w:pPr>
      <w:r>
        <w:rPr/>
      </w:r>
    </w:p>
    <w:p>
      <w:pPr>
        <w:pStyle w:val="Normal"/>
        <w:rPr/>
      </w:pPr>
      <w:r>
        <w:rPr/>
      </w:r>
    </w:p>
    <w:p>
      <w:pPr>
        <w:pStyle w:val="Normal"/>
        <w:rPr/>
      </w:pPr>
      <w:r>
        <w:rPr>
          <w:b/>
          <w:bCs/>
          <w:i/>
          <w:iCs/>
        </w:rPr>
        <w:t>Obiettivo generale:</w:t>
      </w:r>
      <w:r>
        <w:rPr/>
        <w:t xml:space="preserve"> Costituire un </w:t>
      </w:r>
      <w:r>
        <w:rPr>
          <w:i/>
          <w:iCs/>
        </w:rPr>
        <w:t xml:space="preserve">network </w:t>
      </w:r>
      <w:r>
        <w:rPr>
          <w:i w:val="false"/>
          <w:iCs w:val="false"/>
        </w:rPr>
        <w:t xml:space="preserve">di esperti in grado di proporre, promuovere e sperimentare idee innovative sul tema della gestione ambientale </w:t>
      </w:r>
      <w:r>
        <w:rPr>
          <w:i w:val="false"/>
          <w:iCs w:val="false"/>
        </w:rPr>
        <w:t xml:space="preserve">(con modalità </w:t>
      </w:r>
      <w:r>
        <w:rPr>
          <w:i/>
          <w:iCs/>
        </w:rPr>
        <w:t>evidence based</w:t>
      </w:r>
      <w:r>
        <w:rPr>
          <w:i w:val="false"/>
          <w:iCs w:val="false"/>
        </w:rPr>
        <w:t>)</w:t>
      </w:r>
      <w:r>
        <w:rPr>
          <w:i w:val="false"/>
          <w:iCs w:val="false"/>
        </w:rPr>
        <w:t xml:space="preserve"> in ottica di resilienza ai cambiamenti climatici e alle modificazioni ambientali indotte dall’uomo</w:t>
      </w:r>
    </w:p>
    <w:p>
      <w:pPr>
        <w:pStyle w:val="Normal"/>
        <w:rPr/>
      </w:pPr>
      <w:r>
        <w:rPr/>
      </w:r>
    </w:p>
    <w:p>
      <w:pPr>
        <w:pStyle w:val="Normal"/>
        <w:rPr>
          <w:b/>
          <w:b/>
          <w:bCs/>
          <w:i/>
          <w:i/>
          <w:iCs/>
        </w:rPr>
      </w:pPr>
      <w:r>
        <w:rPr>
          <w:b/>
          <w:bCs/>
          <w:i/>
          <w:iCs/>
        </w:rPr>
        <w:t>Partnership:</w:t>
      </w:r>
    </w:p>
    <w:p>
      <w:pPr>
        <w:pStyle w:val="Normal"/>
        <w:numPr>
          <w:ilvl w:val="0"/>
          <w:numId w:val="1"/>
        </w:numPr>
        <w:rPr>
          <w:i/>
          <w:i/>
        </w:rPr>
      </w:pPr>
      <w:r>
        <w:rPr>
          <w:i/>
        </w:rPr>
        <w:t xml:space="preserve">Centro Geofisico Prealpino (coordinamento e sede istituzionale </w:t>
      </w:r>
      <w:r>
        <w:rPr>
          <w:i/>
        </w:rPr>
        <w:t>presso Villa Baragiola</w:t>
      </w:r>
      <w:r>
        <w:rPr>
          <w:i/>
        </w:rPr>
        <w:t>)</w:t>
      </w:r>
    </w:p>
    <w:p>
      <w:pPr>
        <w:pStyle w:val="Normal"/>
        <w:numPr>
          <w:ilvl w:val="0"/>
          <w:numId w:val="1"/>
        </w:numPr>
        <w:rPr>
          <w:i/>
          <w:i/>
        </w:rPr>
      </w:pPr>
      <w:r>
        <w:rPr>
          <w:i/>
        </w:rPr>
        <w:t>Parco Regionale Campo dei Fiori</w:t>
      </w:r>
    </w:p>
    <w:p>
      <w:pPr>
        <w:pStyle w:val="Normal"/>
        <w:numPr>
          <w:ilvl w:val="0"/>
          <w:numId w:val="1"/>
        </w:numPr>
        <w:rPr/>
      </w:pPr>
      <w:r>
        <w:rPr>
          <w:i/>
        </w:rPr>
        <w:t>Università degli Studi dell’Insubria (ref. Martinoli e ???)</w:t>
      </w:r>
    </w:p>
    <w:p>
      <w:pPr>
        <w:pStyle w:val="Normal"/>
        <w:numPr>
          <w:ilvl w:val="0"/>
          <w:numId w:val="1"/>
        </w:numPr>
        <w:rPr/>
      </w:pPr>
      <w:r>
        <w:rPr>
          <w:i/>
        </w:rPr>
        <w:t>Università degli Studi di Milano (ref. ???)</w:t>
      </w:r>
    </w:p>
    <w:p>
      <w:pPr>
        <w:pStyle w:val="Normal"/>
        <w:numPr>
          <w:ilvl w:val="0"/>
          <w:numId w:val="1"/>
        </w:numPr>
        <w:rPr/>
      </w:pPr>
      <w:r>
        <w:rPr>
          <w:i/>
        </w:rPr>
        <w:t>Università degli Studi di Milano-Bicocca (ref. ???)</w:t>
      </w:r>
    </w:p>
    <w:p>
      <w:pPr>
        <w:pStyle w:val="Normal"/>
        <w:numPr>
          <w:ilvl w:val="0"/>
          <w:numId w:val="1"/>
        </w:numPr>
        <w:rPr/>
      </w:pPr>
      <w:r>
        <w:rPr>
          <w:i/>
        </w:rPr>
        <w:t>Politecnico di Milano (ref. ???)</w:t>
      </w:r>
    </w:p>
    <w:p>
      <w:pPr>
        <w:pStyle w:val="Normal"/>
        <w:rPr>
          <w:i/>
          <w:i/>
        </w:rPr>
      </w:pPr>
      <w:r>
        <w:rPr>
          <w:i/>
        </w:rPr>
      </w:r>
    </w:p>
    <w:p>
      <w:pPr>
        <w:pStyle w:val="Normal"/>
        <w:rPr/>
      </w:pPr>
      <w:r>
        <w:rPr>
          <w:b/>
          <w:bCs/>
          <w:i/>
        </w:rPr>
        <w:t xml:space="preserve">NOTA: </w:t>
      </w:r>
      <w:r>
        <w:rPr>
          <w:i w:val="false"/>
          <w:iCs w:val="false"/>
        </w:rPr>
        <w:t>occorrerebbe avere un paio di referenti per istituzione coinvolta in modo da avere rapporti consolidati e funzionali. Questi referenti si faranno poi carico di coinvolgere i colleghi, di volta in volta, su tematiche specifiche</w:t>
      </w:r>
    </w:p>
    <w:p>
      <w:pPr>
        <w:pStyle w:val="Normal"/>
        <w:rPr>
          <w:i/>
          <w:i/>
        </w:rPr>
      </w:pPr>
      <w:r>
        <w:rPr>
          <w:i/>
        </w:rPr>
      </w:r>
    </w:p>
    <w:p>
      <w:pPr>
        <w:pStyle w:val="Normal"/>
        <w:rPr>
          <w:b/>
          <w:b/>
          <w:bCs/>
          <w:i/>
          <w:i/>
          <w:iCs/>
        </w:rPr>
      </w:pPr>
      <w:r>
        <w:rPr>
          <w:b/>
          <w:bCs/>
          <w:i/>
          <w:iCs/>
        </w:rPr>
        <w:t>Enti sostenitori/patrocinatori:</w:t>
      </w:r>
    </w:p>
    <w:p>
      <w:pPr>
        <w:pStyle w:val="Normal"/>
        <w:numPr>
          <w:ilvl w:val="0"/>
          <w:numId w:val="1"/>
        </w:numPr>
        <w:rPr/>
      </w:pPr>
      <w:r>
        <w:rPr>
          <w:i w:val="false"/>
          <w:iCs w:val="false"/>
        </w:rPr>
        <w:t>Regione Lombardia (D.G. Ambiente e Clima &amp; D.G. Agricoltura, Alimentazione e Sistemi Verdi)</w:t>
      </w:r>
    </w:p>
    <w:p>
      <w:pPr>
        <w:pStyle w:val="Normal"/>
        <w:rPr/>
      </w:pPr>
      <w:r>
        <w:rPr>
          <w:b/>
          <w:bCs/>
          <w:i/>
          <w:iCs w:val="false"/>
        </w:rPr>
        <w:t xml:space="preserve">NOTA: </w:t>
      </w:r>
      <w:r>
        <w:rPr>
          <w:b/>
          <w:bCs/>
          <w:i/>
          <w:iCs w:val="false"/>
        </w:rPr>
        <w:t xml:space="preserve">anche in questo caso </w:t>
      </w:r>
      <w:r>
        <w:rPr>
          <w:i w:val="false"/>
          <w:iCs w:val="false"/>
        </w:rPr>
        <w:t xml:space="preserve">occorrerebbe avere un paio di referenti </w:t>
      </w:r>
      <w:r>
        <w:rPr>
          <w:i w:val="false"/>
          <w:iCs w:val="false"/>
        </w:rPr>
        <w:t>ogni DG</w:t>
      </w:r>
    </w:p>
    <w:p>
      <w:pPr>
        <w:pStyle w:val="Normal"/>
        <w:rPr>
          <w:i w:val="false"/>
          <w:i w:val="false"/>
          <w:iCs w:val="false"/>
        </w:rPr>
      </w:pPr>
      <w:r>
        <w:rPr>
          <w:i w:val="false"/>
          <w:iCs w:val="false"/>
        </w:rPr>
      </w:r>
    </w:p>
    <w:p>
      <w:pPr>
        <w:pStyle w:val="Normal"/>
        <w:rPr>
          <w:b/>
          <w:b/>
          <w:bCs/>
          <w:i/>
          <w:i/>
          <w:iCs/>
        </w:rPr>
      </w:pPr>
      <w:r>
        <w:rPr>
          <w:b/>
          <w:bCs/>
          <w:i/>
          <w:iCs/>
        </w:rPr>
        <w:t>Collaborazioni internazionali:</w:t>
      </w:r>
    </w:p>
    <w:p>
      <w:pPr>
        <w:pStyle w:val="Normal"/>
        <w:numPr>
          <w:ilvl w:val="0"/>
          <w:numId w:val="2"/>
        </w:numPr>
        <w:rPr/>
      </w:pPr>
      <w:r>
        <w:rPr>
          <w:b w:val="false"/>
          <w:bCs w:val="false"/>
          <w:i w:val="false"/>
          <w:iCs w:val="false"/>
        </w:rPr>
        <w:t xml:space="preserve">con </w:t>
      </w:r>
      <w:r>
        <w:rPr>
          <w:b w:val="false"/>
          <w:bCs w:val="false"/>
          <w:i w:val="false"/>
          <w:iCs w:val="false"/>
        </w:rPr>
        <w:t xml:space="preserve">uno dei </w:t>
      </w:r>
      <w:r>
        <w:rPr>
          <w:b w:val="false"/>
          <w:bCs w:val="false"/>
          <w:i w:val="false"/>
          <w:iCs w:val="false"/>
        </w:rPr>
        <w:t xml:space="preserve">Centri di Ricerca della Wyoming University (grand Teton e Yellowstone in particolare </w:t>
      </w:r>
      <w:r>
        <w:rPr>
          <w:b w:val="false"/>
          <w:bCs w:val="false"/>
          <w:i w:val="false"/>
          <w:iCs w:val="false"/>
        </w:rPr>
        <w:t>che trattano tematiche simili</w:t>
      </w:r>
      <w:r>
        <w:rPr>
          <w:b w:val="false"/>
          <w:bCs w:val="false"/>
          <w:i w:val="false"/>
          <w:iCs w:val="false"/>
        </w:rPr>
        <w:t>)</w:t>
      </w:r>
    </w:p>
    <w:p>
      <w:pPr>
        <w:pStyle w:val="Normal"/>
        <w:rPr>
          <w:b/>
          <w:b/>
          <w:bCs/>
          <w:i/>
          <w:i/>
          <w:iCs/>
        </w:rPr>
      </w:pPr>
      <w:r>
        <w:rPr>
          <w:b/>
          <w:bCs/>
          <w:i/>
          <w:iCs/>
        </w:rPr>
      </w:r>
    </w:p>
    <w:p>
      <w:pPr>
        <w:pStyle w:val="Normal"/>
        <w:rPr/>
      </w:pPr>
      <w:bookmarkStart w:id="0" w:name="__DdeLink__11147_901603605"/>
      <w:r>
        <w:rPr>
          <w:b/>
          <w:bCs/>
          <w:i/>
          <w:iCs/>
        </w:rPr>
        <w:t xml:space="preserve">Obiettivo a breve termine: </w:t>
      </w:r>
    </w:p>
    <w:p>
      <w:pPr>
        <w:pStyle w:val="Normal"/>
        <w:numPr>
          <w:ilvl w:val="0"/>
          <w:numId w:val="3"/>
        </w:numPr>
        <w:rPr/>
      </w:pPr>
      <w:r>
        <w:rPr>
          <w:b w:val="false"/>
          <w:bCs w:val="false"/>
          <w:i w:val="false"/>
          <w:iCs w:val="false"/>
        </w:rPr>
        <w:t>R</w:t>
      </w:r>
      <w:r>
        <w:rPr>
          <w:b w:val="false"/>
          <w:bCs w:val="false"/>
          <w:i w:val="false"/>
          <w:iCs w:val="false"/>
        </w:rPr>
        <w:t>iunione con tutti i soggetti coinvolti per una condivisione partecipativa del progetto (prima del 19 settembre, giornata del Climbing for Climate durante la quale verrà presentato il Progetto...che eventualmente potrà essere ancora sotto forma di idea progettuale...)</w:t>
      </w:r>
    </w:p>
    <w:p>
      <w:pPr>
        <w:pStyle w:val="Normal"/>
        <w:numPr>
          <w:ilvl w:val="0"/>
          <w:numId w:val="3"/>
        </w:numPr>
        <w:rPr/>
      </w:pPr>
      <w:r>
        <w:rPr>
          <w:b w:val="false"/>
          <w:bCs w:val="false"/>
          <w:i w:val="false"/>
          <w:iCs w:val="false"/>
        </w:rPr>
        <w:t>C</w:t>
      </w:r>
      <w:r>
        <w:rPr>
          <w:b w:val="false"/>
          <w:bCs w:val="false"/>
          <w:i w:val="false"/>
          <w:iCs w:val="false"/>
        </w:rPr>
        <w:t xml:space="preserve">ostituzione </w:t>
      </w:r>
      <w:r>
        <w:rPr>
          <w:b w:val="false"/>
          <w:bCs w:val="false"/>
          <w:i w:val="false"/>
          <w:iCs w:val="false"/>
        </w:rPr>
        <w:t>formale del Centro Studi (e definizione di un nome accattivante ed esaustivo per i contenuti trattati)</w:t>
      </w:r>
    </w:p>
    <w:p>
      <w:pPr>
        <w:pStyle w:val="Normal"/>
        <w:numPr>
          <w:ilvl w:val="0"/>
          <w:numId w:val="3"/>
        </w:numPr>
        <w:rPr/>
      </w:pPr>
      <w:r>
        <w:rPr>
          <w:b w:val="false"/>
          <w:bCs w:val="false"/>
          <w:i w:val="false"/>
          <w:iCs w:val="false"/>
        </w:rPr>
        <w:t>N</w:t>
      </w:r>
      <w:r>
        <w:rPr>
          <w:b w:val="false"/>
          <w:bCs w:val="false"/>
          <w:i w:val="false"/>
          <w:iCs w:val="false"/>
        </w:rPr>
        <w:t xml:space="preserve">omina </w:t>
      </w:r>
      <w:r>
        <w:rPr>
          <w:b w:val="false"/>
          <w:bCs w:val="false"/>
          <w:i w:val="false"/>
          <w:iCs w:val="false"/>
        </w:rPr>
        <w:t xml:space="preserve">dei diversi </w:t>
      </w:r>
      <w:r>
        <w:rPr>
          <w:b w:val="false"/>
          <w:bCs w:val="false"/>
          <w:i w:val="false"/>
          <w:iCs w:val="false"/>
        </w:rPr>
        <w:t>referenti</w:t>
      </w:r>
    </w:p>
    <w:p>
      <w:pPr>
        <w:pStyle w:val="Normal"/>
        <w:numPr>
          <w:ilvl w:val="0"/>
          <w:numId w:val="3"/>
        </w:numPr>
        <w:rPr/>
      </w:pPr>
      <w:r>
        <w:rPr>
          <w:b w:val="false"/>
          <w:bCs w:val="false"/>
          <w:i w:val="false"/>
          <w:iCs w:val="false"/>
        </w:rPr>
        <w:t xml:space="preserve">Definizione di un </w:t>
      </w:r>
      <w:r>
        <w:rPr>
          <w:b w:val="false"/>
          <w:bCs w:val="false"/>
          <w:i w:val="false"/>
          <w:iCs w:val="false"/>
        </w:rPr>
        <w:t xml:space="preserve">regolamento per </w:t>
      </w:r>
      <w:r>
        <w:rPr>
          <w:b w:val="false"/>
          <w:bCs w:val="false"/>
          <w:i w:val="false"/>
          <w:iCs w:val="false"/>
        </w:rPr>
        <w:t xml:space="preserve">stabilire le regole di </w:t>
      </w:r>
      <w:r>
        <w:rPr>
          <w:b w:val="false"/>
          <w:bCs w:val="false"/>
          <w:i w:val="false"/>
          <w:iCs w:val="false"/>
        </w:rPr>
        <w:t>funzionalità</w:t>
      </w:r>
      <w:bookmarkEnd w:id="0"/>
    </w:p>
    <w:p>
      <w:pPr>
        <w:pStyle w:val="Normal"/>
        <w:numPr>
          <w:ilvl w:val="0"/>
          <w:numId w:val="3"/>
        </w:numPr>
        <w:rPr/>
      </w:pPr>
      <w:r>
        <w:rPr>
          <w:b w:val="false"/>
          <w:bCs w:val="false"/>
          <w:i w:val="false"/>
          <w:iCs w:val="false"/>
        </w:rPr>
        <w:t>Raccolta di esperienze simili in Europa o in altri Paesi</w:t>
      </w:r>
    </w:p>
    <w:p>
      <w:pPr>
        <w:pStyle w:val="Normal"/>
        <w:rPr>
          <w:b w:val="false"/>
          <w:b w:val="false"/>
          <w:bCs w:val="false"/>
          <w:i w:val="false"/>
          <w:i w:val="false"/>
          <w:iCs w:val="false"/>
        </w:rPr>
      </w:pPr>
      <w:r>
        <w:rPr>
          <w:b w:val="false"/>
          <w:bCs w:val="false"/>
          <w:i w:val="false"/>
          <w:iCs w:val="false"/>
        </w:rPr>
      </w:r>
    </w:p>
    <w:p>
      <w:pPr>
        <w:pStyle w:val="Normal"/>
        <w:rPr/>
      </w:pPr>
      <w:r>
        <w:rPr>
          <w:b/>
          <w:bCs/>
          <w:i/>
          <w:iCs/>
        </w:rPr>
        <w:t>Obiettivo a medio termine:</w:t>
      </w:r>
    </w:p>
    <w:p>
      <w:pPr>
        <w:pStyle w:val="Normal"/>
        <w:rPr/>
      </w:pPr>
      <w:r>
        <w:rPr>
          <w:b w:val="false"/>
          <w:bCs w:val="false"/>
          <w:i/>
          <w:iCs/>
        </w:rPr>
        <w:t>W</w:t>
      </w:r>
      <w:r>
        <w:rPr>
          <w:b w:val="false"/>
          <w:bCs w:val="false"/>
          <w:i/>
          <w:iCs/>
        </w:rPr>
        <w:t xml:space="preserve">orkshop </w:t>
      </w:r>
      <w:r>
        <w:rPr>
          <w:b w:val="false"/>
          <w:bCs w:val="false"/>
          <w:i w:val="false"/>
          <w:iCs w:val="false"/>
        </w:rPr>
        <w:t xml:space="preserve">nazionale (cono </w:t>
      </w:r>
      <w:r>
        <w:rPr>
          <w:b w:val="false"/>
          <w:bCs w:val="false"/>
          <w:i w:val="false"/>
          <w:iCs w:val="false"/>
        </w:rPr>
        <w:t xml:space="preserve">eventuali </w:t>
      </w:r>
      <w:r>
        <w:rPr>
          <w:b w:val="false"/>
          <w:bCs w:val="false"/>
          <w:i w:val="false"/>
          <w:iCs w:val="false"/>
        </w:rPr>
        <w:t xml:space="preserve">ospiti internazionali) </w:t>
      </w:r>
      <w:r>
        <w:rPr>
          <w:b w:val="false"/>
          <w:bCs w:val="false"/>
          <w:i w:val="false"/>
          <w:iCs w:val="false"/>
        </w:rPr>
        <w:t xml:space="preserve">sul tema </w:t>
      </w:r>
      <w:r>
        <w:rPr>
          <w:b w:val="false"/>
          <w:bCs w:val="false"/>
          <w:i w:val="false"/>
          <w:iCs w:val="false"/>
        </w:rPr>
        <w:t xml:space="preserve">“Gestione ambientale e  resilienza: il </w:t>
      </w:r>
      <w:r>
        <w:rPr>
          <w:b w:val="false"/>
          <w:bCs w:val="false"/>
          <w:i/>
          <w:iCs/>
        </w:rPr>
        <w:t>new green deal</w:t>
      </w:r>
      <w:r>
        <w:rPr>
          <w:b w:val="false"/>
          <w:bCs w:val="false"/>
          <w:i w:val="false"/>
          <w:iCs w:val="false"/>
        </w:rPr>
        <w:t xml:space="preserve"> dei paesaggi” </w:t>
      </w:r>
      <w:r>
        <w:rPr>
          <w:b w:val="false"/>
          <w:bCs w:val="false"/>
          <w:i w:val="false"/>
          <w:iCs w:val="false"/>
        </w:rPr>
        <w:t>(titolo provvisorio). L’obiettivo pratico, oltre allo scambio di idee e prospettive scientifiche, è quello di giungere alla definizione di specifiche azioni concrete di gestione dell’ambiente la cui realizzazione sperimentale sarà effettuata grazie a specifiche raccolte fondi (progetti internazionali, bandi nazionali ecc.).</w:t>
      </w:r>
    </w:p>
    <w:p>
      <w:pPr>
        <w:pStyle w:val="Normal"/>
        <w:rPr>
          <w:b w:val="false"/>
          <w:b w:val="false"/>
          <w:bCs w:val="false"/>
          <w:i w:val="false"/>
          <w:i w:val="false"/>
          <w:iCs w:val="false"/>
        </w:rPr>
      </w:pPr>
      <w:r>
        <w:rPr>
          <w:b w:val="false"/>
          <w:bCs w:val="false"/>
          <w:i w:val="false"/>
          <w:iCs w:val="false"/>
        </w:rPr>
      </w:r>
    </w:p>
    <w:p>
      <w:pPr>
        <w:pStyle w:val="Normal"/>
        <w:rPr/>
      </w:pPr>
      <w:r>
        <w:rPr>
          <w:b/>
          <w:bCs/>
          <w:i/>
          <w:iCs/>
        </w:rPr>
        <w:t xml:space="preserve">Tematiche importanti </w:t>
      </w:r>
      <w:r>
        <w:rPr>
          <w:b/>
          <w:bCs/>
          <w:i/>
          <w:iCs/>
        </w:rPr>
        <w:t>da prendere in considerazione nelle attività del Centro Studi (ordine alfabetico)</w:t>
      </w:r>
      <w:r>
        <w:rPr>
          <w:b/>
          <w:bCs/>
          <w:i/>
          <w:iCs/>
        </w:rPr>
        <w:t xml:space="preserve">: </w:t>
      </w:r>
      <w:r>
        <w:rPr>
          <w:b w:val="false"/>
          <w:bCs w:val="false"/>
          <w:i w:val="false"/>
          <w:iCs w:val="false"/>
        </w:rPr>
        <w:t>Climatologia, cambiamenti climatici ed eventi estremi,</w:t>
      </w:r>
      <w:r>
        <w:rPr>
          <w:b/>
          <w:bCs/>
          <w:i/>
          <w:iCs/>
        </w:rPr>
        <w:t xml:space="preserve"> </w:t>
      </w:r>
      <w:r>
        <w:rPr>
          <w:b w:val="false"/>
          <w:bCs w:val="false"/>
          <w:i w:val="false"/>
          <w:iCs w:val="false"/>
        </w:rPr>
        <w:t xml:space="preserve">Comunicazione, disseminazione ed educazione ambientale, </w:t>
      </w:r>
      <w:r>
        <w:rPr>
          <w:b w:val="false"/>
          <w:bCs w:val="false"/>
          <w:i w:val="false"/>
          <w:iCs w:val="false"/>
        </w:rPr>
        <w:t xml:space="preserve">Fauna </w:t>
      </w:r>
      <w:r>
        <w:rPr>
          <w:b w:val="false"/>
          <w:bCs w:val="false"/>
          <w:i w:val="false"/>
          <w:iCs w:val="false"/>
        </w:rPr>
        <w:t>e interazioni uomo-fauna</w:t>
      </w:r>
      <w:r>
        <w:rPr>
          <w:b w:val="false"/>
          <w:bCs w:val="false"/>
          <w:i w:val="false"/>
          <w:iCs w:val="false"/>
        </w:rPr>
        <w:t xml:space="preserve">, Flora e vegetazione, Idrogeologia </w:t>
      </w:r>
      <w:r>
        <w:rPr>
          <w:b w:val="false"/>
          <w:bCs w:val="false"/>
          <w:i w:val="false"/>
          <w:iCs w:val="false"/>
        </w:rPr>
        <w:t>e dissesti</w:t>
      </w:r>
      <w:r>
        <w:rPr>
          <w:b w:val="false"/>
          <w:bCs w:val="false"/>
          <w:i w:val="false"/>
          <w:iCs w:val="false"/>
        </w:rPr>
        <w:t>,  Protezione Civile e Prevenzione.</w:t>
      </w:r>
    </w:p>
    <w:p>
      <w:pPr>
        <w:pStyle w:val="Normal"/>
        <w:rPr>
          <w:b w:val="false"/>
          <w:b w:val="false"/>
          <w:bCs w:val="false"/>
          <w:i w:val="false"/>
          <w:i w:val="false"/>
          <w:iCs w:val="false"/>
        </w:rPr>
      </w:pPr>
      <w:r>
        <w:rPr/>
      </w:r>
    </w:p>
    <w:p>
      <w:pPr>
        <w:pStyle w:val="Normal"/>
        <w:rPr/>
      </w:pPr>
      <w:r>
        <w:rPr>
          <w:b/>
          <w:bCs/>
          <w:i/>
          <w:iCs/>
        </w:rPr>
        <w:t xml:space="preserve">Contesto territoriale: </w:t>
      </w:r>
      <w:r>
        <w:rPr>
          <w:b w:val="false"/>
          <w:bCs w:val="false"/>
          <w:i w:val="false"/>
          <w:iCs w:val="false"/>
        </w:rPr>
        <w:t xml:space="preserve">aree prealpine, intese come aree di transizione tra montagna e pianura ossia aree </w:t>
      </w:r>
      <w:r>
        <w:rPr>
          <w:b w:val="false"/>
          <w:bCs w:val="false"/>
          <w:i/>
          <w:iCs/>
        </w:rPr>
        <w:t xml:space="preserve">buffer </w:t>
      </w:r>
      <w:r>
        <w:rPr>
          <w:b w:val="false"/>
          <w:bCs w:val="false"/>
          <w:i w:val="false"/>
          <w:iCs w:val="false"/>
        </w:rPr>
        <w:t>dove è massimizzata la tematica del rapporto uomo-ambiente (in pianura naturalità ridotta, mentre in montagna presenza antropica stabile ridotta).</w:t>
      </w:r>
    </w:p>
    <w:sectPr>
      <w:type w:val="nextPage"/>
      <w:pgSz w:w="11906" w:h="16838"/>
      <w:pgMar w:left="1020" w:right="1020" w:header="0" w:top="1020" w:footer="0" w:bottom="10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it-IT" w:eastAsia="zh-CN" w:bidi="hi-IN"/>
      </w:rPr>
    </w:rPrDefault>
    <w:pPrDefault>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character" w:styleId="Carpredefinitoparagrafo">
    <w:name w:val="Car. predefinito paragrafo"/>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Caratteridinumerazione">
    <w:name w:val="Caratteri di numerazione"/>
    <w:qFormat/>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sz w:val="28"/>
      <w:szCs w:val="28"/>
    </w:rPr>
  </w:style>
  <w:style w:type="paragraph" w:styleId="Corpodeltesto">
    <w:name w:val="Body Text"/>
    <w:basedOn w:val="Normal"/>
    <w:pPr>
      <w:suppressAutoHyphens w:val="true"/>
      <w:spacing w:lineRule="auto" w:line="276" w:before="0" w:after="140"/>
    </w:pPr>
    <w:rPr/>
  </w:style>
  <w:style w:type="paragraph" w:styleId="Elenco">
    <w:name w:val="List"/>
    <w:basedOn w:val="Corpodeltesto"/>
    <w:pPr>
      <w:suppressAutoHyphens w:val="true"/>
    </w:pPr>
    <w:rPr/>
  </w:style>
  <w:style w:type="paragraph" w:styleId="Didascalia">
    <w:name w:val="Caption"/>
    <w:basedOn w:val="Normal"/>
    <w:qFormat/>
    <w:pPr>
      <w:suppressLineNumbers/>
      <w:suppressAutoHyphens w:val="true"/>
      <w:spacing w:before="120" w:after="120"/>
    </w:pPr>
    <w:rPr>
      <w:i/>
      <w:iCs/>
    </w:rPr>
  </w:style>
  <w:style w:type="paragraph" w:styleId="Indice">
    <w:name w:val="Indice"/>
    <w:basedOn w:val="Normal"/>
    <w:qFormat/>
    <w:pPr>
      <w:suppressLineNumbers/>
      <w:suppressAutoHyphens w:val="true"/>
    </w:pPr>
    <w:rPr/>
  </w:style>
  <w:style w:type="paragraph" w:styleId="Normale">
    <w:name w:val="Normale"/>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622</TotalTime>
  <Application>LibreOffice/6.1.6.3$Windows_X86_64 LibreOffice_project/5896ab1714085361c45cf540f76f60673dd96a72</Application>
  <Pages>1</Pages>
  <Words>409</Words>
  <Characters>2546</Characters>
  <CharactersWithSpaces>2921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2021-07-26T12:56:00Z</dcterms:created>
  <dc:creator>UAGRA Insubria</dc:creator>
  <dc:description/>
  <dc:language>it-IT</dc:language>
  <cp:lastModifiedBy>UAGRA Insubria </cp:lastModifiedBy>
  <dcterms:modified xsi:type="dcterms:W3CDTF">2021-08-18T13:09:44Z</dcterms:modified>
  <cp:revision>16</cp:revision>
  <dc:subject/>
  <dc:title/>
</cp:coreProperties>
</file>